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附件1</w:t>
      </w:r>
    </w:p>
    <w:p>
      <w:pPr>
        <w:pStyle w:val="4"/>
        <w:tabs>
          <w:tab w:val="right" w:pos="12756"/>
        </w:tabs>
        <w:spacing w:beforeAutospacing="0" w:afterAutospacing="0" w:line="540" w:lineRule="exact"/>
        <w:jc w:val="center"/>
        <w:rPr>
          <w:rFonts w:ascii="Times New Roman" w:hAnsi="Times New Roman" w:eastAsia="方正小标宋简体"/>
          <w:color w:val="000000" w:themeColor="text1"/>
          <w:kern w:val="2"/>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成都市勘察测绘研究院2022年公开招聘编外聘用人员岗位需求表</w:t>
      </w:r>
    </w:p>
    <w:tbl>
      <w:tblPr>
        <w:tblStyle w:val="5"/>
        <w:tblW w:w="14427" w:type="dxa"/>
        <w:jc w:val="center"/>
        <w:tblLayout w:type="fixed"/>
        <w:tblCellMar>
          <w:top w:w="0" w:type="dxa"/>
          <w:left w:w="108" w:type="dxa"/>
          <w:bottom w:w="0" w:type="dxa"/>
          <w:right w:w="108" w:type="dxa"/>
        </w:tblCellMar>
      </w:tblPr>
      <w:tblGrid>
        <w:gridCol w:w="829"/>
        <w:gridCol w:w="1425"/>
        <w:gridCol w:w="1191"/>
        <w:gridCol w:w="718"/>
        <w:gridCol w:w="2769"/>
        <w:gridCol w:w="1994"/>
        <w:gridCol w:w="5501"/>
      </w:tblGrid>
      <w:tr>
        <w:tblPrEx>
          <w:tblCellMar>
            <w:top w:w="0" w:type="dxa"/>
            <w:left w:w="108" w:type="dxa"/>
            <w:bottom w:w="0" w:type="dxa"/>
            <w:right w:w="108" w:type="dxa"/>
          </w:tblCellMar>
        </w:tblPrEx>
        <w:trPr>
          <w:trHeight w:val="959" w:hRule="atLeast"/>
          <w:tblHeader/>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招聘</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单位</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招聘岗位</w:t>
            </w: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岗位</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类别</w:t>
            </w: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招聘</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人数</w:t>
            </w:r>
          </w:p>
        </w:tc>
        <w:tc>
          <w:tcPr>
            <w:tcW w:w="2769"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专业</w:t>
            </w:r>
          </w:p>
        </w:tc>
        <w:tc>
          <w:tcPr>
            <w:tcW w:w="1994"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学历学位</w:t>
            </w:r>
          </w:p>
        </w:tc>
        <w:tc>
          <w:tcPr>
            <w:tcW w:w="5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其他</w:t>
            </w:r>
          </w:p>
        </w:tc>
      </w:tr>
      <w:tr>
        <w:tblPrEx>
          <w:tblCellMar>
            <w:top w:w="0" w:type="dxa"/>
            <w:left w:w="108" w:type="dxa"/>
            <w:bottom w:w="0" w:type="dxa"/>
            <w:right w:w="108" w:type="dxa"/>
          </w:tblCellMar>
        </w:tblPrEx>
        <w:trPr>
          <w:trHeight w:val="959" w:hRule="atLeast"/>
          <w:tblHeader/>
          <w:jc w:val="center"/>
        </w:trPr>
        <w:tc>
          <w:tcPr>
            <w:tcW w:w="82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left"/>
              <w:rPr>
                <w:rFonts w:ascii="仿宋" w:hAnsi="仿宋" w:eastAsia="仿宋" w:cs="Times New Roman"/>
                <w:bCs/>
                <w:kern w:val="0"/>
                <w:sz w:val="24"/>
                <w:szCs w:val="20"/>
              </w:rPr>
            </w:pPr>
            <w:r>
              <w:rPr>
                <w:rFonts w:ascii="仿宋" w:hAnsi="仿宋" w:eastAsia="仿宋" w:cs="Times New Roman"/>
                <w:bCs/>
                <w:kern w:val="0"/>
                <w:sz w:val="24"/>
                <w:szCs w:val="20"/>
              </w:rPr>
              <w:t>成都市勘察测绘研究院</w:t>
            </w:r>
          </w:p>
          <w:p>
            <w:pPr>
              <w:widowControl/>
              <w:adjustRightInd w:val="0"/>
              <w:snapToGrid w:val="0"/>
              <w:jc w:val="center"/>
              <w:rPr>
                <w:rFonts w:ascii="仿宋" w:hAnsi="仿宋" w:eastAsia="仿宋" w:cs="Times New Roman"/>
                <w:bCs/>
                <w:kern w:val="0"/>
                <w:sz w:val="24"/>
                <w:szCs w:val="21"/>
              </w:rPr>
            </w:pP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测绘技术生产及研究</w:t>
            </w:r>
          </w:p>
        </w:tc>
        <w:tc>
          <w:tcPr>
            <w:tcW w:w="119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Times New Roman"/>
                <w:bCs/>
                <w:kern w:val="0"/>
                <w:sz w:val="24"/>
                <w:szCs w:val="21"/>
              </w:rPr>
            </w:pPr>
            <w:r>
              <w:rPr>
                <w:rFonts w:hint="eastAsia" w:ascii="仿宋" w:hAnsi="仿宋" w:eastAsia="仿宋" w:cs="Times New Roman"/>
                <w:kern w:val="0"/>
                <w:sz w:val="24"/>
                <w:szCs w:val="21"/>
              </w:rPr>
              <w:t>专业技术</w:t>
            </w: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Cs/>
                <w:kern w:val="0"/>
                <w:sz w:val="24"/>
                <w:szCs w:val="21"/>
              </w:rPr>
            </w:pPr>
            <w:r>
              <w:rPr>
                <w:rFonts w:hint="eastAsia" w:ascii="仿宋" w:hAnsi="仿宋" w:eastAsia="仿宋" w:cs="Times New Roman"/>
                <w:kern w:val="0"/>
                <w:sz w:val="24"/>
                <w:szCs w:val="21"/>
              </w:rPr>
              <w:t>6</w:t>
            </w:r>
          </w:p>
        </w:tc>
        <w:tc>
          <w:tcPr>
            <w:tcW w:w="276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测绘类专业</w:t>
            </w:r>
          </w:p>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（含测绘工程、大地测量学与测量工程、摄影测量与遥感）</w:t>
            </w:r>
          </w:p>
        </w:tc>
        <w:tc>
          <w:tcPr>
            <w:tcW w:w="1994" w:type="dxa"/>
            <w:vMerge w:val="restart"/>
            <w:tcBorders>
              <w:top w:val="single" w:color="auto" w:sz="4" w:space="0"/>
              <w:left w:val="nil"/>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ascii="仿宋" w:hAnsi="仿宋" w:eastAsia="仿宋" w:cs="Times New Roman"/>
                <w:kern w:val="0"/>
                <w:sz w:val="24"/>
                <w:szCs w:val="21"/>
              </w:rPr>
              <w:t>具有国家统一招生的硕士研究生及以上学历，取得学历相应学位</w:t>
            </w:r>
          </w:p>
        </w:tc>
        <w:tc>
          <w:tcPr>
            <w:tcW w:w="550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1.年龄要求：</w:t>
            </w:r>
          </w:p>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（1）硕士研究生学历：1993年12月31日后出生；</w:t>
            </w:r>
          </w:p>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（2）博士研究生学历：1990年12月31日后出生。</w:t>
            </w:r>
          </w:p>
          <w:p>
            <w:pPr>
              <w:widowControl/>
              <w:adjustRightInd w:val="0"/>
              <w:snapToGrid w:val="0"/>
              <w:spacing w:line="300" w:lineRule="exact"/>
              <w:ind w:left="240" w:hanging="240" w:hangingChars="100"/>
              <w:rPr>
                <w:rFonts w:ascii="仿宋" w:hAnsi="仿宋" w:eastAsia="仿宋" w:cs="Times New Roman"/>
                <w:kern w:val="0"/>
                <w:sz w:val="24"/>
                <w:szCs w:val="21"/>
              </w:rPr>
            </w:pPr>
            <w:r>
              <w:rPr>
                <w:rFonts w:ascii="仿宋" w:hAnsi="仿宋" w:eastAsia="仿宋" w:cs="Times New Roman"/>
                <w:kern w:val="0"/>
                <w:sz w:val="24"/>
                <w:szCs w:val="21"/>
              </w:rPr>
              <w:t>2.高校应届毕业生，需要学校主管毕业生就业工作部门开具的就读院系及专业等情况的证明材料，并于2023年7月31日前</w:t>
            </w:r>
            <w:bookmarkStart w:id="0" w:name="_Hlk118825148"/>
            <w:r>
              <w:rPr>
                <w:rFonts w:ascii="仿宋" w:hAnsi="仿宋" w:eastAsia="仿宋" w:cs="Times New Roman"/>
                <w:kern w:val="0"/>
                <w:sz w:val="24"/>
                <w:szCs w:val="21"/>
              </w:rPr>
              <w:t>取得符合招聘要求的国家承认学历的毕业证书、学位证书。</w:t>
            </w:r>
            <w:bookmarkEnd w:id="0"/>
          </w:p>
          <w:p>
            <w:pPr>
              <w:widowControl/>
              <w:adjustRightInd w:val="0"/>
              <w:snapToGrid w:val="0"/>
              <w:spacing w:line="540" w:lineRule="exact"/>
              <w:jc w:val="center"/>
              <w:rPr>
                <w:rFonts w:ascii="仿宋" w:hAnsi="仿宋" w:eastAsia="仿宋" w:cs="Times New Roman"/>
                <w:kern w:val="0"/>
                <w:sz w:val="24"/>
                <w:szCs w:val="21"/>
              </w:rPr>
            </w:pPr>
          </w:p>
        </w:tc>
      </w:tr>
      <w:tr>
        <w:tblPrEx>
          <w:tblCellMar>
            <w:top w:w="0" w:type="dxa"/>
            <w:left w:w="108" w:type="dxa"/>
            <w:bottom w:w="0" w:type="dxa"/>
            <w:right w:w="108" w:type="dxa"/>
          </w:tblCellMar>
        </w:tblPrEx>
        <w:trPr>
          <w:trHeight w:val="2698" w:hRule="atLeast"/>
          <w:jc w:val="center"/>
        </w:trPr>
        <w:tc>
          <w:tcPr>
            <w:tcW w:w="829"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ind w:firstLine="482" w:firstLineChars="200"/>
              <w:jc w:val="center"/>
              <w:rPr>
                <w:rFonts w:ascii="仿宋" w:hAnsi="仿宋" w:eastAsia="仿宋" w:cs="Times New Roman"/>
                <w:b/>
                <w:bCs/>
                <w:kern w:val="0"/>
                <w:sz w:val="24"/>
                <w:szCs w:val="2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 w:val="24"/>
              </w:rPr>
            </w:pPr>
            <w:r>
              <w:rPr>
                <w:rFonts w:hint="eastAsia" w:ascii="仿宋" w:hAnsi="仿宋" w:eastAsia="仿宋" w:cs="Times New Roman"/>
                <w:sz w:val="24"/>
              </w:rPr>
              <w:t>地质勘察</w:t>
            </w:r>
          </w:p>
          <w:p>
            <w:pPr>
              <w:spacing w:line="300" w:lineRule="exact"/>
              <w:jc w:val="center"/>
              <w:rPr>
                <w:rFonts w:ascii="仿宋" w:hAnsi="仿宋" w:eastAsia="仿宋" w:cs="Times New Roman"/>
                <w:sz w:val="24"/>
              </w:rPr>
            </w:pPr>
            <w:r>
              <w:rPr>
                <w:rFonts w:hint="eastAsia" w:ascii="仿宋" w:hAnsi="仿宋" w:eastAsia="仿宋" w:cs="Times New Roman"/>
                <w:sz w:val="24"/>
              </w:rPr>
              <w:t>技术生产及研究</w:t>
            </w:r>
          </w:p>
        </w:tc>
        <w:tc>
          <w:tcPr>
            <w:tcW w:w="119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highlight w:val="yellow"/>
              </w:rPr>
            </w:pPr>
            <w:r>
              <w:rPr>
                <w:rFonts w:hint="eastAsia" w:ascii="仿宋" w:hAnsi="仿宋" w:eastAsia="仿宋" w:cs="Times New Roman"/>
                <w:kern w:val="0"/>
                <w:sz w:val="24"/>
                <w:szCs w:val="21"/>
              </w:rPr>
              <w:t>2</w:t>
            </w:r>
          </w:p>
        </w:tc>
        <w:tc>
          <w:tcPr>
            <w:tcW w:w="27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勘察类专业</w:t>
            </w:r>
          </w:p>
          <w:p>
            <w:pPr>
              <w:widowControl/>
              <w:adjustRightInd w:val="0"/>
              <w:snapToGrid w:val="0"/>
              <w:spacing w:line="4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（含地质工程、岩土工程、固体地球物理学）</w:t>
            </w:r>
          </w:p>
        </w:tc>
        <w:tc>
          <w:tcPr>
            <w:tcW w:w="199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 w:hAnsi="仿宋" w:eastAsia="仿宋" w:cs="Times New Roman"/>
                <w:kern w:val="0"/>
                <w:sz w:val="24"/>
                <w:szCs w:val="21"/>
              </w:rPr>
            </w:pPr>
          </w:p>
        </w:tc>
        <w:tc>
          <w:tcPr>
            <w:tcW w:w="55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2E5ZmRlZGU4MjI4N2I0NzE3ODY4NWMwODYzZTEifQ=="/>
  </w:docVars>
  <w:rsids>
    <w:rsidRoot w:val="00000000"/>
    <w:rsid w:val="75D9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Autospacing="1" w:afterAutospacing="1"/>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2022-12-07T11:04:36Z</dcterms:created>
  <dc:creator>Administrator</dc:creator>
  <cp:lastModifiedBy>dd</cp:lastModifiedBy>
  <dcterms:modified xsi:type="dcterms:W3CDTF">2022-12-07T11:05:34Z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08773C550F9B4713BCAC234A76A54D74</vt:lpwstr>
  </property>
</Properties>
</file>